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BF7">
        <w:rPr>
          <w:rFonts w:ascii="MS Shell Dlg 2" w:hAnsi="MS Shell Dlg 2" w:cs="MS Shell Dlg 2"/>
          <w:noProof/>
          <w:sz w:val="40"/>
          <w:szCs w:val="40"/>
          <w:u w:val="single"/>
        </w:rPr>
        <w:t>Addition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FE3BF7" w:rsidRDefault="00FE3BF7" w:rsidP="00FE3BF7">
      <w:r>
        <w:t>Suivant la définition figurant dans l’EN206-1, l’addition est un matériau minéral finement divisé utilisé dans le béton afin d’améliorer certaines propriétés ou pour lui conférer des propriétés particulières. La norme qualifie 2 types d’additions minérales :</w:t>
      </w:r>
    </w:p>
    <w:p w:rsidR="00FE3BF7" w:rsidRDefault="00FE3BF7" w:rsidP="00FE3BF7">
      <w:pPr>
        <w:pStyle w:val="Paragraphedeliste"/>
        <w:numPr>
          <w:ilvl w:val="0"/>
          <w:numId w:val="21"/>
        </w:numPr>
        <w:jc w:val="both"/>
      </w:pPr>
      <w:r>
        <w:t>Type I : les additions quasiment inertes</w:t>
      </w:r>
    </w:p>
    <w:p w:rsidR="00FE3BF7" w:rsidRDefault="00FE3BF7" w:rsidP="00FE3BF7">
      <w:pPr>
        <w:pStyle w:val="Paragraphedeliste"/>
        <w:numPr>
          <w:ilvl w:val="0"/>
          <w:numId w:val="21"/>
        </w:numPr>
        <w:jc w:val="both"/>
      </w:pPr>
      <w:r>
        <w:t xml:space="preserve">Type II : les additions à caractère </w:t>
      </w:r>
      <w:proofErr w:type="spellStart"/>
      <w:r>
        <w:t>pouzzolanique</w:t>
      </w:r>
      <w:proofErr w:type="spellEnd"/>
      <w:r>
        <w:t xml:space="preserve"> ou hydraulique latent</w:t>
      </w:r>
    </w:p>
    <w:p w:rsidR="00FE3BF7" w:rsidRDefault="00FE3BF7" w:rsidP="00FE3BF7">
      <w:r>
        <w:t>La quantité d’addition par rapport au ciment est encadrée par l’EN206-1 suivant la classe d’exposition.</w:t>
      </w:r>
    </w:p>
    <w:p w:rsidR="00FE3BF7" w:rsidRDefault="00FE3BF7" w:rsidP="00FE3BF7">
      <w:r>
        <w:t>Les additions de type II peuvent être prises en compte dans la composition du béton pour le respect de la teneur en ciment et du rapport eau/ciment suivant le coefficient k.</w:t>
      </w:r>
    </w:p>
    <w:p w:rsidR="00FE3BF7" w:rsidRDefault="00FE3BF7" w:rsidP="00FE3BF7">
      <w:r>
        <w:t>L’ajout d’une addition dans la formulation d’un béton peut être dictée par plusieurs intérêts :</w:t>
      </w:r>
    </w:p>
    <w:p w:rsidR="00FE3BF7" w:rsidRDefault="00FE3BF7" w:rsidP="00FE3BF7">
      <w:pPr>
        <w:pStyle w:val="Paragraphedeliste"/>
        <w:numPr>
          <w:ilvl w:val="0"/>
          <w:numId w:val="22"/>
        </w:numPr>
        <w:jc w:val="both"/>
      </w:pPr>
      <w:r>
        <w:t>Cout économique : remplacement d’une partie du ciment par une addition de type II.</w:t>
      </w:r>
    </w:p>
    <w:p w:rsidR="00FE3BF7" w:rsidRDefault="00FE3BF7" w:rsidP="00FE3BF7">
      <w:pPr>
        <w:pStyle w:val="Paragraphedeliste"/>
        <w:numPr>
          <w:ilvl w:val="0"/>
          <w:numId w:val="22"/>
        </w:numPr>
        <w:jc w:val="both"/>
      </w:pPr>
      <w:r>
        <w:t>Considération de durabilité : compacité du squelette granulaire</w:t>
      </w:r>
    </w:p>
    <w:p w:rsidR="00FE3BF7" w:rsidRDefault="00FE3BF7" w:rsidP="00FE3BF7">
      <w:pPr>
        <w:pStyle w:val="Paragraphedeliste"/>
        <w:numPr>
          <w:ilvl w:val="0"/>
          <w:numId w:val="22"/>
        </w:numPr>
        <w:jc w:val="both"/>
      </w:pPr>
      <w:r>
        <w:t>Qualité du parement</w:t>
      </w:r>
    </w:p>
    <w:p w:rsidR="00FE3BF7" w:rsidRDefault="00FE3BF7" w:rsidP="00FE3BF7">
      <w:pPr>
        <w:pStyle w:val="Paragraphedeliste"/>
        <w:numPr>
          <w:ilvl w:val="0"/>
          <w:numId w:val="22"/>
        </w:numPr>
        <w:jc w:val="both"/>
      </w:pPr>
      <w:r>
        <w:t xml:space="preserve">…. </w:t>
      </w:r>
    </w:p>
    <w:p w:rsidR="00FE3BF7" w:rsidRDefault="00FE3BF7" w:rsidP="00FE3BF7">
      <w:r>
        <w:t>Toutefois, cet ajout est encadré par l’EN206-1.</w:t>
      </w:r>
    </w:p>
    <w:p w:rsidR="00FE3BF7" w:rsidRDefault="00FE3BF7" w:rsidP="00FE3BF7">
      <w:r>
        <w:t>Les additions, proposées par cette version logicielle, sont :</w:t>
      </w:r>
    </w:p>
    <w:p w:rsidR="00FE3BF7" w:rsidRDefault="00FE3BF7" w:rsidP="00FE3BF7">
      <w:pPr>
        <w:pStyle w:val="Paragraphedeliste"/>
        <w:numPr>
          <w:ilvl w:val="0"/>
          <w:numId w:val="23"/>
        </w:numPr>
        <w:jc w:val="both"/>
      </w:pPr>
      <w:r>
        <w:t>Addition calcaire de type A (= L)</w:t>
      </w:r>
    </w:p>
    <w:p w:rsidR="00FE3BF7" w:rsidRDefault="00FE3BF7" w:rsidP="00FE3BF7">
      <w:pPr>
        <w:pStyle w:val="Paragraphedeliste"/>
        <w:numPr>
          <w:ilvl w:val="0"/>
          <w:numId w:val="23"/>
        </w:numPr>
        <w:jc w:val="both"/>
      </w:pPr>
      <w:r>
        <w:t>Addition calcaire de type B (= LL)</w:t>
      </w:r>
    </w:p>
    <w:p w:rsidR="00FE3BF7" w:rsidRDefault="00FE3BF7" w:rsidP="00FE3BF7">
      <w:pPr>
        <w:pStyle w:val="Paragraphedeliste"/>
        <w:numPr>
          <w:ilvl w:val="0"/>
          <w:numId w:val="23"/>
        </w:numPr>
        <w:jc w:val="both"/>
      </w:pPr>
      <w:proofErr w:type="spellStart"/>
      <w:r>
        <w:t>Métakaolin</w:t>
      </w:r>
      <w:proofErr w:type="spellEnd"/>
      <w:r>
        <w:t xml:space="preserve"> de type A</w:t>
      </w:r>
    </w:p>
    <w:p w:rsidR="00FE3BF7" w:rsidRDefault="00FE3BF7" w:rsidP="00FE3BF7">
      <w:pPr>
        <w:pStyle w:val="Paragraphedeliste"/>
        <w:numPr>
          <w:ilvl w:val="0"/>
          <w:numId w:val="23"/>
        </w:numPr>
        <w:jc w:val="both"/>
      </w:pPr>
      <w:r>
        <w:t>Addition siliceuse de minéralogie QZ</w:t>
      </w:r>
    </w:p>
    <w:p w:rsidR="00FE3BF7" w:rsidRDefault="00FE3BF7" w:rsidP="00FE3BF7">
      <w:pPr>
        <w:pStyle w:val="Paragraphedeliste"/>
        <w:numPr>
          <w:ilvl w:val="0"/>
          <w:numId w:val="23"/>
        </w:numPr>
        <w:jc w:val="both"/>
      </w:pPr>
      <w:r>
        <w:t>Cendres volantes siliceuses</w:t>
      </w:r>
    </w:p>
    <w:p w:rsidR="00FE3BF7" w:rsidRDefault="00FE3BF7" w:rsidP="00FE3BF7">
      <w:pPr>
        <w:pStyle w:val="Paragraphedeliste"/>
        <w:numPr>
          <w:ilvl w:val="0"/>
          <w:numId w:val="23"/>
        </w:numPr>
        <w:jc w:val="both"/>
      </w:pPr>
      <w:r>
        <w:t>Laitier vitrifié</w:t>
      </w:r>
    </w:p>
    <w:p w:rsidR="00FE3BF7" w:rsidRDefault="00FE3BF7" w:rsidP="00FE3BF7">
      <w:pPr>
        <w:pStyle w:val="Paragraphedeliste"/>
        <w:numPr>
          <w:ilvl w:val="0"/>
          <w:numId w:val="23"/>
        </w:numPr>
        <w:jc w:val="both"/>
      </w:pPr>
      <w:r>
        <w:t>Fumées de silice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57"/>
        <w:gridCol w:w="1312"/>
        <w:gridCol w:w="1333"/>
        <w:gridCol w:w="1322"/>
        <w:gridCol w:w="1238"/>
        <w:gridCol w:w="1231"/>
        <w:gridCol w:w="1269"/>
      </w:tblGrid>
      <w:tr w:rsidR="00FE3BF7" w:rsidTr="007B455F">
        <w:tc>
          <w:tcPr>
            <w:tcW w:w="1370" w:type="dxa"/>
            <w:vMerge w:val="restart"/>
            <w:vAlign w:val="center"/>
          </w:tcPr>
          <w:p w:rsidR="00FE3BF7" w:rsidRDefault="00FE3BF7" w:rsidP="007B455F">
            <w:pPr>
              <w:jc w:val="center"/>
            </w:pPr>
          </w:p>
        </w:tc>
        <w:tc>
          <w:tcPr>
            <w:tcW w:w="2686" w:type="dxa"/>
            <w:gridSpan w:val="2"/>
            <w:vAlign w:val="center"/>
          </w:tcPr>
          <w:p w:rsidR="00FE3BF7" w:rsidRDefault="00FE3BF7" w:rsidP="007B455F">
            <w:pPr>
              <w:jc w:val="center"/>
            </w:pPr>
            <w:r>
              <w:t>Fines</w:t>
            </w:r>
          </w:p>
        </w:tc>
        <w:tc>
          <w:tcPr>
            <w:tcW w:w="1341" w:type="dxa"/>
            <w:vMerge w:val="restart"/>
            <w:vAlign w:val="center"/>
          </w:tcPr>
          <w:p w:rsidR="00FE3BF7" w:rsidRDefault="00FE3BF7" w:rsidP="007B455F">
            <w:pPr>
              <w:jc w:val="center"/>
            </w:pPr>
            <w:r>
              <w:t>Cendres volantes siliceuses</w:t>
            </w:r>
          </w:p>
        </w:tc>
        <w:tc>
          <w:tcPr>
            <w:tcW w:w="1270" w:type="dxa"/>
            <w:vMerge w:val="restart"/>
            <w:vAlign w:val="center"/>
          </w:tcPr>
          <w:p w:rsidR="00FE3BF7" w:rsidRDefault="00FE3BF7" w:rsidP="007B455F">
            <w:pPr>
              <w:jc w:val="center"/>
            </w:pPr>
            <w:r>
              <w:t>Laitier vitrifié</w:t>
            </w:r>
          </w:p>
        </w:tc>
        <w:tc>
          <w:tcPr>
            <w:tcW w:w="1098" w:type="dxa"/>
            <w:vMerge w:val="restart"/>
            <w:vAlign w:val="center"/>
          </w:tcPr>
          <w:p w:rsidR="00FE3BF7" w:rsidRDefault="00FE3BF7" w:rsidP="007B455F">
            <w:pPr>
              <w:jc w:val="center"/>
            </w:pPr>
            <w:proofErr w:type="spellStart"/>
            <w:r>
              <w:t>Métakaolin</w:t>
            </w:r>
            <w:proofErr w:type="spellEnd"/>
          </w:p>
        </w:tc>
        <w:tc>
          <w:tcPr>
            <w:tcW w:w="1295" w:type="dxa"/>
            <w:vMerge w:val="restart"/>
            <w:vAlign w:val="center"/>
          </w:tcPr>
          <w:p w:rsidR="00FE3BF7" w:rsidRDefault="00FE3BF7" w:rsidP="007B455F">
            <w:pPr>
              <w:jc w:val="center"/>
            </w:pPr>
            <w:r>
              <w:t>Fumées de silice</w:t>
            </w:r>
          </w:p>
        </w:tc>
      </w:tr>
      <w:tr w:rsidR="00FE3BF7" w:rsidTr="007B455F">
        <w:tc>
          <w:tcPr>
            <w:tcW w:w="1370" w:type="dxa"/>
            <w:vMerge/>
            <w:vAlign w:val="center"/>
          </w:tcPr>
          <w:p w:rsidR="00FE3BF7" w:rsidRDefault="00FE3BF7" w:rsidP="007B455F">
            <w:pPr>
              <w:jc w:val="center"/>
            </w:pPr>
          </w:p>
        </w:tc>
        <w:tc>
          <w:tcPr>
            <w:tcW w:w="1334" w:type="dxa"/>
            <w:vAlign w:val="center"/>
          </w:tcPr>
          <w:p w:rsidR="00FE3BF7" w:rsidRDefault="00FE3BF7" w:rsidP="007B455F">
            <w:pPr>
              <w:jc w:val="center"/>
            </w:pPr>
            <w:r>
              <w:t>Calcaires</w:t>
            </w:r>
          </w:p>
        </w:tc>
        <w:tc>
          <w:tcPr>
            <w:tcW w:w="1352" w:type="dxa"/>
            <w:vAlign w:val="center"/>
          </w:tcPr>
          <w:p w:rsidR="00FE3BF7" w:rsidRDefault="00FE3BF7" w:rsidP="007B455F">
            <w:pPr>
              <w:jc w:val="center"/>
            </w:pPr>
            <w:r>
              <w:t>Siliceuses</w:t>
            </w:r>
          </w:p>
        </w:tc>
        <w:tc>
          <w:tcPr>
            <w:tcW w:w="1341" w:type="dxa"/>
            <w:vMerge/>
            <w:vAlign w:val="center"/>
          </w:tcPr>
          <w:p w:rsidR="00FE3BF7" w:rsidRDefault="00FE3BF7" w:rsidP="007B455F">
            <w:pPr>
              <w:jc w:val="center"/>
            </w:pPr>
          </w:p>
        </w:tc>
        <w:tc>
          <w:tcPr>
            <w:tcW w:w="1270" w:type="dxa"/>
            <w:vMerge/>
            <w:vAlign w:val="center"/>
          </w:tcPr>
          <w:p w:rsidR="00FE3BF7" w:rsidRDefault="00FE3BF7" w:rsidP="007B455F">
            <w:pPr>
              <w:jc w:val="center"/>
            </w:pPr>
          </w:p>
        </w:tc>
        <w:tc>
          <w:tcPr>
            <w:tcW w:w="1098" w:type="dxa"/>
            <w:vMerge/>
            <w:vAlign w:val="center"/>
          </w:tcPr>
          <w:p w:rsidR="00FE3BF7" w:rsidRDefault="00FE3BF7" w:rsidP="007B455F">
            <w:pPr>
              <w:jc w:val="center"/>
            </w:pPr>
          </w:p>
        </w:tc>
        <w:tc>
          <w:tcPr>
            <w:tcW w:w="1295" w:type="dxa"/>
            <w:vMerge/>
            <w:vAlign w:val="center"/>
          </w:tcPr>
          <w:p w:rsidR="00FE3BF7" w:rsidRDefault="00FE3BF7" w:rsidP="007B455F">
            <w:pPr>
              <w:jc w:val="center"/>
            </w:pPr>
          </w:p>
        </w:tc>
      </w:tr>
      <w:tr w:rsidR="00FE3BF7" w:rsidTr="007B455F">
        <w:tc>
          <w:tcPr>
            <w:tcW w:w="1370" w:type="dxa"/>
            <w:vAlign w:val="center"/>
          </w:tcPr>
          <w:p w:rsidR="00FE3BF7" w:rsidRDefault="00FE3BF7" w:rsidP="007B455F">
            <w:pPr>
              <w:jc w:val="center"/>
            </w:pPr>
            <w:r>
              <w:t>Masse volumique</w:t>
            </w:r>
          </w:p>
          <w:p w:rsidR="00FE3BF7" w:rsidRDefault="00FE3BF7" w:rsidP="007B455F">
            <w:pPr>
              <w:jc w:val="center"/>
            </w:pPr>
            <w:r>
              <w:t>(kg/m</w:t>
            </w:r>
            <w:r w:rsidRPr="005E6F7F"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1334" w:type="dxa"/>
            <w:vAlign w:val="center"/>
          </w:tcPr>
          <w:p w:rsidR="00FE3BF7" w:rsidRDefault="00FE3BF7" w:rsidP="007B455F">
            <w:pPr>
              <w:jc w:val="center"/>
            </w:pPr>
            <w:r>
              <w:t>2700</w:t>
            </w:r>
          </w:p>
        </w:tc>
        <w:tc>
          <w:tcPr>
            <w:tcW w:w="1352" w:type="dxa"/>
            <w:vAlign w:val="center"/>
          </w:tcPr>
          <w:p w:rsidR="00FE3BF7" w:rsidRDefault="00FE3BF7" w:rsidP="007B455F">
            <w:pPr>
              <w:jc w:val="center"/>
            </w:pPr>
            <w:r>
              <w:t>2650</w:t>
            </w:r>
          </w:p>
        </w:tc>
        <w:tc>
          <w:tcPr>
            <w:tcW w:w="1341" w:type="dxa"/>
            <w:vAlign w:val="center"/>
          </w:tcPr>
          <w:p w:rsidR="00FE3BF7" w:rsidRDefault="00FE3BF7" w:rsidP="007B455F">
            <w:pPr>
              <w:jc w:val="center"/>
            </w:pPr>
            <w:r>
              <w:t>2200</w:t>
            </w:r>
          </w:p>
        </w:tc>
        <w:tc>
          <w:tcPr>
            <w:tcW w:w="1270" w:type="dxa"/>
            <w:vAlign w:val="center"/>
          </w:tcPr>
          <w:p w:rsidR="00FE3BF7" w:rsidRDefault="00FE3BF7" w:rsidP="007B455F">
            <w:pPr>
              <w:jc w:val="center"/>
            </w:pPr>
            <w:r>
              <w:t>2850</w:t>
            </w:r>
          </w:p>
          <w:p w:rsidR="00FE3BF7" w:rsidRDefault="00FE3BF7" w:rsidP="007B455F">
            <w:pPr>
              <w:jc w:val="center"/>
            </w:pPr>
            <w:r>
              <w:t>(2700 – 3000)</w:t>
            </w:r>
          </w:p>
        </w:tc>
        <w:tc>
          <w:tcPr>
            <w:tcW w:w="1098" w:type="dxa"/>
            <w:vAlign w:val="center"/>
          </w:tcPr>
          <w:p w:rsidR="00FE3BF7" w:rsidRDefault="00FE3BF7" w:rsidP="007B455F">
            <w:pPr>
              <w:jc w:val="center"/>
            </w:pPr>
            <w:r>
              <w:t>2500</w:t>
            </w:r>
          </w:p>
        </w:tc>
        <w:tc>
          <w:tcPr>
            <w:tcW w:w="1295" w:type="dxa"/>
            <w:vAlign w:val="center"/>
          </w:tcPr>
          <w:p w:rsidR="00FE3BF7" w:rsidRDefault="00FE3BF7" w:rsidP="007B455F">
            <w:pPr>
              <w:jc w:val="center"/>
            </w:pPr>
            <w:r>
              <w:t>2250</w:t>
            </w:r>
          </w:p>
          <w:p w:rsidR="00FE3BF7" w:rsidRDefault="00FE3BF7" w:rsidP="007B455F">
            <w:pPr>
              <w:keepNext/>
              <w:jc w:val="center"/>
            </w:pPr>
            <w:r>
              <w:t>(2100 – 2400)</w:t>
            </w:r>
          </w:p>
        </w:tc>
      </w:tr>
    </w:tbl>
    <w:p w:rsidR="00FE3BF7" w:rsidRDefault="00FE3BF7" w:rsidP="00FE3BF7">
      <w:pPr>
        <w:pStyle w:val="Lgende"/>
      </w:pPr>
      <w:r>
        <w:t xml:space="preserve">Tableau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noBreakHyphen/>
      </w:r>
      <w:r>
        <w:fldChar w:fldCharType="begin"/>
      </w:r>
      <w:r>
        <w:instrText xml:space="preserve"> SEQ Tableau \* ARABIC \s 1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 - Extrait de l’ouvrage de Baron-Ollivier</w:t>
      </w:r>
      <w:bookmarkStart w:id="0" w:name="_GoBack"/>
      <w:bookmarkEnd w:id="0"/>
      <w:r>
        <w:t xml:space="preserve"> - page 388</w:t>
      </w:r>
    </w:p>
    <w:p w:rsidR="00FE3BF7" w:rsidRPr="00530597" w:rsidRDefault="00FE3BF7" w:rsidP="00FE3BF7">
      <w:pPr>
        <w:rPr>
          <w:u w:val="single"/>
        </w:rPr>
      </w:pPr>
      <w:r w:rsidRPr="00530597">
        <w:rPr>
          <w:u w:val="single"/>
        </w:rPr>
        <w:t>Détermination du coefficient k pour les additions dans le ciment suivant l’EN206-1 : 2004.</w:t>
      </w:r>
    </w:p>
    <w:p w:rsidR="00FE3BF7" w:rsidRDefault="00FE3BF7" w:rsidP="00FE3BF7">
      <w:r>
        <w:rPr>
          <w:noProof/>
        </w:rPr>
        <w:lastRenderedPageBreak/>
        <w:drawing>
          <wp:inline distT="0" distB="0" distL="0" distR="0" wp14:anchorId="2CD79792" wp14:editId="65DE85B1">
            <wp:extent cx="5686425" cy="3676650"/>
            <wp:effectExtent l="0" t="0" r="9525" b="0"/>
            <wp:docPr id="92" name="Imag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BF7" w:rsidRDefault="00FE3BF7" w:rsidP="00FE3BF7">
      <w:r>
        <w:rPr>
          <w:noProof/>
        </w:rPr>
        <w:drawing>
          <wp:inline distT="0" distB="0" distL="0" distR="0" wp14:anchorId="24BBC659" wp14:editId="52B4FF26">
            <wp:extent cx="5514975" cy="2438400"/>
            <wp:effectExtent l="0" t="0" r="9525" b="0"/>
            <wp:docPr id="95" name="Imag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BF7" w:rsidRPr="00530597" w:rsidRDefault="00FE3BF7" w:rsidP="00FE3BF7">
      <w:pPr>
        <w:rPr>
          <w:u w:val="single"/>
        </w:rPr>
      </w:pPr>
      <w:r w:rsidRPr="00530597">
        <w:rPr>
          <w:u w:val="single"/>
        </w:rPr>
        <w:t>Détermination du coefficient k pour les additions dans le ciment suivant l’EN206-1 : 2020 :</w:t>
      </w:r>
    </w:p>
    <w:p w:rsidR="00FE3BF7" w:rsidRDefault="00FE3BF7" w:rsidP="00FE3BF7">
      <w:r>
        <w:t>Identique à celle de 2004 sauf pour les points suivants :</w:t>
      </w:r>
    </w:p>
    <w:p w:rsidR="00FE3BF7" w:rsidRDefault="00FE3BF7" w:rsidP="00FE3BF7">
      <w:pPr>
        <w:pStyle w:val="Paragraphedeliste"/>
        <w:numPr>
          <w:ilvl w:val="0"/>
          <w:numId w:val="24"/>
        </w:numPr>
        <w:jc w:val="both"/>
      </w:pPr>
      <w:r>
        <w:rPr>
          <w:b/>
        </w:rPr>
        <w:t>C</w:t>
      </w:r>
      <w:r w:rsidRPr="00F21802">
        <w:rPr>
          <w:b/>
        </w:rPr>
        <w:t>endres volantes</w:t>
      </w:r>
      <w:r>
        <w:t> : k=0.40 quel que soit la valeur de i</w:t>
      </w:r>
      <w:r w:rsidRPr="00E457B8">
        <w:rPr>
          <w:vertAlign w:val="subscript"/>
        </w:rPr>
        <w:t>28</w:t>
      </w:r>
      <w:r>
        <w:t xml:space="preserve"> et de i</w:t>
      </w:r>
      <w:r w:rsidRPr="00E457B8">
        <w:rPr>
          <w:vertAlign w:val="subscript"/>
        </w:rPr>
        <w:t>90</w:t>
      </w:r>
      <w:r>
        <w:t xml:space="preserve"> alors que la norme de 2004 imposait i</w:t>
      </w:r>
      <w:r w:rsidRPr="00E457B8">
        <w:rPr>
          <w:vertAlign w:val="subscript"/>
        </w:rPr>
        <w:t>28</w:t>
      </w:r>
      <w:r>
        <w:t>≥0.75 et i</w:t>
      </w:r>
      <w:r w:rsidRPr="00E457B8">
        <w:rPr>
          <w:vertAlign w:val="subscript"/>
        </w:rPr>
        <w:t>90</w:t>
      </w:r>
      <w:r>
        <w:t>≥0.85</w:t>
      </w:r>
    </w:p>
    <w:p w:rsidR="00FE3BF7" w:rsidRDefault="00FE3BF7" w:rsidP="00FE3BF7">
      <w:pPr>
        <w:pStyle w:val="Paragraphedeliste"/>
        <w:numPr>
          <w:ilvl w:val="0"/>
          <w:numId w:val="24"/>
        </w:numPr>
        <w:jc w:val="both"/>
      </w:pPr>
      <w:r w:rsidRPr="00F21802">
        <w:rPr>
          <w:b/>
        </w:rPr>
        <w:t>Fumées de silice</w:t>
      </w:r>
      <w:r>
        <w:t> : le terme C dans le rapport E/C est remplacé par E/liant équivalent. Les valeurs des rapports restent identiques.</w:t>
      </w:r>
    </w:p>
    <w:p w:rsidR="00FE3BF7" w:rsidRDefault="00FE3BF7" w:rsidP="00FE3BF7">
      <w:pPr>
        <w:pStyle w:val="Paragraphedeliste"/>
        <w:numPr>
          <w:ilvl w:val="0"/>
          <w:numId w:val="24"/>
        </w:numPr>
        <w:jc w:val="both"/>
      </w:pPr>
      <w:r w:rsidRPr="00F21802">
        <w:rPr>
          <w:b/>
        </w:rPr>
        <w:t>Laitiers vitrifiés</w:t>
      </w:r>
      <w:r>
        <w:t> : introduction des classes A, B et C avec k=0.90 si i</w:t>
      </w:r>
      <w:r w:rsidRPr="00E457B8">
        <w:rPr>
          <w:vertAlign w:val="subscript"/>
        </w:rPr>
        <w:t>7</w:t>
      </w:r>
      <w:r>
        <w:t>≥0.65 et i</w:t>
      </w:r>
      <w:r w:rsidRPr="00E457B8">
        <w:rPr>
          <w:vertAlign w:val="subscript"/>
        </w:rPr>
        <w:t>28</w:t>
      </w:r>
      <w:r>
        <w:t>≥0.85 (classes A et B) et k=0.60 pour la classe C. les termes h</w:t>
      </w:r>
      <w:r w:rsidRPr="00E457B8">
        <w:rPr>
          <w:vertAlign w:val="subscript"/>
        </w:rPr>
        <w:t xml:space="preserve">3/7 </w:t>
      </w:r>
      <w:r>
        <w:t>et h</w:t>
      </w:r>
      <w:r w:rsidRPr="00E457B8">
        <w:rPr>
          <w:vertAlign w:val="subscript"/>
        </w:rPr>
        <w:t xml:space="preserve">3/28 </w:t>
      </w:r>
      <w:r>
        <w:t>ne sont plus utilisés.</w:t>
      </w:r>
    </w:p>
    <w:p w:rsidR="00FE3BF7" w:rsidRDefault="00FE3BF7" w:rsidP="00FE3BF7">
      <w:pPr>
        <w:pStyle w:val="Paragraphedeliste"/>
        <w:numPr>
          <w:ilvl w:val="0"/>
          <w:numId w:val="24"/>
        </w:numPr>
        <w:jc w:val="both"/>
      </w:pPr>
      <w:proofErr w:type="spellStart"/>
      <w:r w:rsidRPr="00F21802">
        <w:rPr>
          <w:b/>
        </w:rPr>
        <w:t>Métakaolins</w:t>
      </w:r>
      <w:proofErr w:type="spellEnd"/>
      <w:r>
        <w:t xml:space="preserve"> de type A : k=1</w:t>
      </w:r>
    </w:p>
    <w:p w:rsidR="00FE3BF7" w:rsidRDefault="00FE3BF7" w:rsidP="00FE3BF7">
      <w:pPr>
        <w:pStyle w:val="Paragraphedeliste"/>
        <w:numPr>
          <w:ilvl w:val="0"/>
          <w:numId w:val="24"/>
        </w:numPr>
        <w:jc w:val="both"/>
      </w:pPr>
      <w:r w:rsidRPr="00F21802">
        <w:rPr>
          <w:b/>
        </w:rPr>
        <w:t>Additions calcaires</w:t>
      </w:r>
      <w:r>
        <w:t> : k=0.25 identique quel que soit la valeur de i</w:t>
      </w:r>
      <w:r w:rsidRPr="00E457B8">
        <w:rPr>
          <w:vertAlign w:val="subscript"/>
        </w:rPr>
        <w:t>28</w:t>
      </w:r>
    </w:p>
    <w:p w:rsidR="00FE3BF7" w:rsidRDefault="00FE3BF7" w:rsidP="00FE3BF7">
      <w:pPr>
        <w:pStyle w:val="Paragraphedeliste"/>
        <w:numPr>
          <w:ilvl w:val="0"/>
          <w:numId w:val="24"/>
        </w:numPr>
        <w:jc w:val="both"/>
      </w:pPr>
      <w:r w:rsidRPr="00F21802">
        <w:rPr>
          <w:b/>
        </w:rPr>
        <w:lastRenderedPageBreak/>
        <w:t>Additions siliceuses</w:t>
      </w:r>
      <w:r>
        <w:t xml:space="preserve"> : classe A remplacer par « de minéralogie </w:t>
      </w:r>
      <w:proofErr w:type="spellStart"/>
      <w:r>
        <w:t>Qz</w:t>
      </w:r>
      <w:proofErr w:type="spellEnd"/>
      <w:r>
        <w:t> » et k=0.25 identique quel que soit la valeur de i</w:t>
      </w:r>
      <w:r w:rsidRPr="00E457B8">
        <w:rPr>
          <w:vertAlign w:val="subscript"/>
        </w:rPr>
        <w:t>28</w:t>
      </w:r>
    </w:p>
    <w:p w:rsidR="00FE3BF7" w:rsidRDefault="00FE3BF7" w:rsidP="00FE3BF7">
      <w:r>
        <w:t xml:space="preserve">Dans la formulation Baron-Ollivier (voir </w:t>
      </w:r>
      <w:r>
        <w:rPr>
          <w:rFonts w:cs="Times New Roman"/>
        </w:rPr>
        <w:t>bibliographie</w:t>
      </w:r>
      <w:r>
        <w:t>), le terme Addition est remplacé par Fine.</w:t>
      </w:r>
    </w:p>
    <w:p w:rsidR="00FE3BF7" w:rsidRPr="00946177" w:rsidRDefault="00FE3BF7" w:rsidP="00FE3BF7">
      <w:r>
        <w:t>La formulation par la méthode Dreux-</w:t>
      </w:r>
      <w:proofErr w:type="spellStart"/>
      <w:r>
        <w:t>Gorisse</w:t>
      </w:r>
      <w:proofErr w:type="spellEnd"/>
      <w:r>
        <w:t xml:space="preserve"> ignore les additions. La partie Addition n’est donc pas accessible si le projeteur a fait le choix de cette méthode.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FE3BF7">
        <w:t>1 mai</w:t>
      </w:r>
      <w:r w:rsidR="00C163E6">
        <w:t xml:space="preserve"> </w:t>
      </w:r>
      <w:r w:rsidR="00BD179B">
        <w:t>202</w:t>
      </w:r>
      <w:r w:rsidR="00DB6FB5">
        <w:t>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</w:t>
      </w:r>
      <w:r w:rsidR="00FE3BF7" w:rsidRPr="00DA113E">
        <w:t xml:space="preserve">Les bétons – Bases et données pour leur formulation » écrit sous la direction de Jacques Baron et </w:t>
      </w:r>
      <w:proofErr w:type="spellStart"/>
      <w:r w:rsidR="00FE3BF7" w:rsidRPr="00DA113E">
        <w:t>Jean-pierre</w:t>
      </w:r>
      <w:proofErr w:type="spellEnd"/>
      <w:r w:rsidR="00FE3BF7" w:rsidRPr="00DA113E">
        <w:t xml:space="preserve"> Ollivier et paru aux Editions Eyrolles</w:t>
      </w:r>
      <w:r w:rsidR="00FE3BF7">
        <w:t xml:space="preserve"> 1996.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p w:rsidR="00A92EEB" w:rsidRDefault="00FE3BF7" w:rsidP="00FE3BF7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:2020</w:t>
      </w:r>
    </w:p>
    <w:sectPr w:rsidR="00A92EEB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401B8"/>
    <w:multiLevelType w:val="hybridMultilevel"/>
    <w:tmpl w:val="21007F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24B33"/>
    <w:multiLevelType w:val="hybridMultilevel"/>
    <w:tmpl w:val="38488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9C1CA8"/>
    <w:multiLevelType w:val="hybridMultilevel"/>
    <w:tmpl w:val="2ACC27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DD1215"/>
    <w:multiLevelType w:val="hybridMultilevel"/>
    <w:tmpl w:val="A9A6EC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64454"/>
    <w:multiLevelType w:val="hybridMultilevel"/>
    <w:tmpl w:val="19C29A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B6116D"/>
    <w:multiLevelType w:val="hybridMultilevel"/>
    <w:tmpl w:val="776A9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159FC"/>
    <w:multiLevelType w:val="hybridMultilevel"/>
    <w:tmpl w:val="AB321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1"/>
  </w:num>
  <w:num w:numId="8">
    <w:abstractNumId w:val="18"/>
  </w:num>
  <w:num w:numId="9">
    <w:abstractNumId w:val="4"/>
  </w:num>
  <w:num w:numId="10">
    <w:abstractNumId w:val="9"/>
  </w:num>
  <w:num w:numId="11">
    <w:abstractNumId w:val="10"/>
  </w:num>
  <w:num w:numId="12">
    <w:abstractNumId w:val="14"/>
  </w:num>
  <w:num w:numId="13">
    <w:abstractNumId w:val="19"/>
  </w:num>
  <w:num w:numId="14">
    <w:abstractNumId w:val="20"/>
  </w:num>
  <w:num w:numId="15">
    <w:abstractNumId w:val="21"/>
  </w:num>
  <w:num w:numId="16">
    <w:abstractNumId w:val="3"/>
  </w:num>
  <w:num w:numId="17">
    <w:abstractNumId w:val="2"/>
  </w:num>
  <w:num w:numId="18">
    <w:abstractNumId w:val="16"/>
  </w:num>
  <w:num w:numId="19">
    <w:abstractNumId w:val="15"/>
  </w:num>
  <w:num w:numId="20">
    <w:abstractNumId w:val="8"/>
  </w:num>
  <w:num w:numId="21">
    <w:abstractNumId w:val="17"/>
  </w:num>
  <w:num w:numId="22">
    <w:abstractNumId w:val="12"/>
  </w:num>
  <w:num w:numId="23">
    <w:abstractNumId w:val="1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E7267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D6662"/>
    <w:rsid w:val="008E3454"/>
    <w:rsid w:val="008F4025"/>
    <w:rsid w:val="008F6CB7"/>
    <w:rsid w:val="00902D2C"/>
    <w:rsid w:val="00923F20"/>
    <w:rsid w:val="009306D1"/>
    <w:rsid w:val="00946577"/>
    <w:rsid w:val="0096305B"/>
    <w:rsid w:val="00983E27"/>
    <w:rsid w:val="009B79DA"/>
    <w:rsid w:val="00A92EEB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54688"/>
    <w:rsid w:val="00D7202E"/>
    <w:rsid w:val="00D7782D"/>
    <w:rsid w:val="00D8287A"/>
    <w:rsid w:val="00DB6FB5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  <w:rsid w:val="00FE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917AF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A92EEB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2E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471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11</cp:revision>
  <dcterms:created xsi:type="dcterms:W3CDTF">2025-11-16T14:41:00Z</dcterms:created>
  <dcterms:modified xsi:type="dcterms:W3CDTF">2026-05-01T09:23:00Z</dcterms:modified>
</cp:coreProperties>
</file>